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6"/>
          <w:szCs w:val="36"/>
        </w:rPr>
      </w:pPr>
      <w:r>
        <w:rPr>
          <w:rFonts w:hint="eastAsia" w:ascii="仿宋" w:hAnsi="仿宋" w:eastAsia="仿宋"/>
          <w:b/>
          <w:sz w:val="36"/>
          <w:szCs w:val="36"/>
        </w:rPr>
        <w:t>中共淮北市委党史和地方志研究室</w:t>
      </w:r>
      <w:r>
        <w:rPr>
          <w:rFonts w:ascii="宋体" w:hAnsi="宋体"/>
          <w:b/>
          <w:sz w:val="36"/>
          <w:szCs w:val="36"/>
        </w:rPr>
        <w:t>2019</w:t>
      </w:r>
      <w:r>
        <w:rPr>
          <w:rFonts w:ascii="仿宋" w:hAnsi="仿宋" w:eastAsia="仿宋"/>
          <w:b/>
          <w:sz w:val="36"/>
          <w:szCs w:val="36"/>
        </w:rPr>
        <w:t>年</w:t>
      </w:r>
      <w:r>
        <w:rPr>
          <w:rFonts w:hint="eastAsia" w:ascii="仿宋" w:hAnsi="仿宋" w:eastAsia="仿宋"/>
          <w:b/>
          <w:sz w:val="36"/>
          <w:szCs w:val="36"/>
        </w:rPr>
        <w:t>度</w:t>
      </w:r>
    </w:p>
    <w:p>
      <w:pPr>
        <w:jc w:val="center"/>
        <w:rPr>
          <w:rFonts w:ascii="仿宋" w:hAnsi="仿宋" w:eastAsia="仿宋"/>
          <w:b/>
          <w:sz w:val="36"/>
          <w:szCs w:val="36"/>
        </w:rPr>
      </w:pPr>
      <w:r>
        <w:rPr>
          <w:rFonts w:hint="eastAsia" w:ascii="仿宋" w:hAnsi="仿宋" w:eastAsia="仿宋"/>
          <w:b/>
          <w:sz w:val="36"/>
          <w:szCs w:val="36"/>
        </w:rPr>
        <w:t>一般公共预算财政拨款</w:t>
      </w:r>
    </w:p>
    <w:p>
      <w:pPr>
        <w:jc w:val="center"/>
        <w:rPr>
          <w:rFonts w:ascii="仿宋" w:hAnsi="仿宋" w:eastAsia="仿宋"/>
          <w:b/>
          <w:sz w:val="36"/>
          <w:szCs w:val="36"/>
        </w:rPr>
      </w:pPr>
      <w:r>
        <w:rPr>
          <w:rFonts w:ascii="仿宋" w:hAnsi="仿宋" w:eastAsia="仿宋"/>
          <w:b/>
          <w:sz w:val="36"/>
          <w:szCs w:val="36"/>
        </w:rPr>
        <w:t>“三公</w:t>
      </w:r>
      <w:r>
        <w:rPr>
          <w:rFonts w:hint="eastAsia" w:ascii="仿宋" w:hAnsi="仿宋" w:eastAsia="仿宋"/>
          <w:b/>
          <w:sz w:val="36"/>
          <w:szCs w:val="36"/>
        </w:rPr>
        <w:t>”</w:t>
      </w:r>
      <w:r>
        <w:rPr>
          <w:rFonts w:ascii="仿宋" w:hAnsi="仿宋" w:eastAsia="仿宋"/>
          <w:b/>
          <w:sz w:val="36"/>
          <w:szCs w:val="36"/>
        </w:rPr>
        <w:t>经费</w:t>
      </w:r>
      <w:r>
        <w:rPr>
          <w:rFonts w:hint="eastAsia" w:ascii="仿宋" w:hAnsi="仿宋" w:eastAsia="仿宋"/>
          <w:b/>
          <w:sz w:val="36"/>
          <w:szCs w:val="36"/>
        </w:rPr>
        <w:t>支出决算情况说明</w:t>
      </w:r>
    </w:p>
    <w:p>
      <w:pPr>
        <w:jc w:val="center"/>
        <w:rPr>
          <w:rFonts w:ascii="楷体_GB2312" w:eastAsia="楷体_GB2312"/>
          <w:szCs w:val="32"/>
        </w:rPr>
      </w:pPr>
    </w:p>
    <w:p>
      <w:pPr>
        <w:adjustRightInd w:val="0"/>
        <w:snapToGrid w:val="0"/>
        <w:spacing w:line="360" w:lineRule="auto"/>
        <w:jc w:val="center"/>
        <w:rPr>
          <w:rFonts w:ascii="宋体" w:hAnsi="宋体"/>
          <w:sz w:val="6"/>
          <w:szCs w:val="32"/>
        </w:rPr>
      </w:pPr>
    </w:p>
    <w:p>
      <w:pPr>
        <w:rPr>
          <w:rFonts w:ascii="黑体" w:hAnsi="黑体" w:eastAsia="黑体"/>
          <w:szCs w:val="32"/>
        </w:rPr>
      </w:pPr>
      <w:r>
        <w:rPr>
          <w:rFonts w:ascii="黑体" w:hAnsi="黑体" w:eastAsia="黑体"/>
          <w:szCs w:val="32"/>
        </w:rPr>
        <w:t xml:space="preserve">    </w:t>
      </w:r>
      <w:r>
        <w:rPr>
          <w:rFonts w:hint="eastAsia" w:ascii="黑体" w:hAnsi="黑体" w:eastAsia="黑体"/>
          <w:szCs w:val="32"/>
        </w:rPr>
        <w:t>一、2019年度一般公共预算财政拨款“三公”经费支出决算表</w:t>
      </w:r>
    </w:p>
    <w:p>
      <w:pPr>
        <w:ind w:firstLine="6400" w:firstLineChars="2000"/>
        <w:rPr>
          <w:rFonts w:ascii="仿宋" w:hAnsi="仿宋" w:eastAsia="仿宋"/>
          <w:szCs w:val="32"/>
        </w:rPr>
      </w:pPr>
      <w:r>
        <w:rPr>
          <w:rFonts w:hint="eastAsia" w:ascii="仿宋_GB2312" w:hAnsi="仿宋_GB2312" w:cs="仿宋_GB2312"/>
          <w:szCs w:val="32"/>
        </w:rPr>
        <w:t xml:space="preserve"> </w:t>
      </w:r>
      <w:r>
        <w:rPr>
          <w:rFonts w:hint="eastAsia" w:ascii="仿宋" w:hAnsi="仿宋" w:eastAsia="仿宋" w:cs="仿宋_GB2312"/>
          <w:szCs w:val="32"/>
        </w:rPr>
        <w:t xml:space="preserve"> 单位：万元</w:t>
      </w:r>
    </w:p>
    <w:tbl>
      <w:tblPr>
        <w:tblStyle w:val="4"/>
        <w:tblpPr w:leftFromText="180" w:rightFromText="180" w:vertAnchor="text" w:horzAnchor="margin" w:tblpY="454"/>
        <w:tblOverlap w:val="never"/>
        <w:tblW w:w="8756" w:type="dxa"/>
        <w:tblInd w:w="0" w:type="dxa"/>
        <w:tblLayout w:type="fixed"/>
        <w:tblCellMar>
          <w:top w:w="0" w:type="dxa"/>
          <w:left w:w="108" w:type="dxa"/>
          <w:bottom w:w="0" w:type="dxa"/>
          <w:right w:w="108" w:type="dxa"/>
        </w:tblCellMar>
      </w:tblPr>
      <w:tblGrid>
        <w:gridCol w:w="4379"/>
        <w:gridCol w:w="2157"/>
        <w:gridCol w:w="2220"/>
      </w:tblGrid>
      <w:tr>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项  目</w:t>
            </w:r>
          </w:p>
        </w:tc>
        <w:tc>
          <w:tcPr>
            <w:tcW w:w="215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预 算 数</w:t>
            </w:r>
          </w:p>
        </w:tc>
        <w:tc>
          <w:tcPr>
            <w:tcW w:w="22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决 算 数</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合  计</w:t>
            </w:r>
          </w:p>
        </w:tc>
        <w:tc>
          <w:tcPr>
            <w:tcW w:w="2157"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5.30</w:t>
            </w:r>
          </w:p>
        </w:tc>
        <w:tc>
          <w:tcPr>
            <w:tcW w:w="2220"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1.42</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因公出国（境）费</w:t>
            </w:r>
          </w:p>
        </w:tc>
        <w:tc>
          <w:tcPr>
            <w:tcW w:w="2157"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公务接待费</w:t>
            </w:r>
          </w:p>
        </w:tc>
        <w:tc>
          <w:tcPr>
            <w:tcW w:w="2157" w:type="dxa"/>
            <w:tcBorders>
              <w:top w:val="nil"/>
              <w:left w:val="nil"/>
              <w:bottom w:val="single" w:color="auto" w:sz="4" w:space="0"/>
              <w:right w:val="single" w:color="auto" w:sz="4" w:space="0"/>
            </w:tcBorders>
          </w:tcPr>
          <w:p>
            <w:pPr>
              <w:widowControl/>
              <w:jc w:val="center"/>
              <w:rPr>
                <w:rFonts w:ascii="宋体" w:hAnsi="宋体" w:cs="宋体"/>
                <w:kern w:val="0"/>
                <w:szCs w:val="21"/>
              </w:rPr>
            </w:pPr>
            <w:r>
              <w:rPr>
                <w:rFonts w:ascii="宋体" w:hAnsi="宋体" w:cs="宋体"/>
                <w:kern w:val="0"/>
                <w:szCs w:val="21"/>
              </w:rPr>
              <w:t>5.30</w:t>
            </w:r>
          </w:p>
        </w:tc>
        <w:tc>
          <w:tcPr>
            <w:tcW w:w="2220" w:type="dxa"/>
            <w:tcBorders>
              <w:top w:val="nil"/>
              <w:left w:val="nil"/>
              <w:bottom w:val="single" w:color="auto" w:sz="4" w:space="0"/>
              <w:right w:val="single" w:color="auto" w:sz="4" w:space="0"/>
            </w:tcBorders>
          </w:tcPr>
          <w:p>
            <w:pPr>
              <w:widowControl/>
              <w:jc w:val="center"/>
              <w:rPr>
                <w:rFonts w:ascii="宋体" w:hAnsi="宋体" w:cs="宋体"/>
                <w:kern w:val="0"/>
                <w:szCs w:val="21"/>
              </w:rPr>
            </w:pPr>
            <w:r>
              <w:rPr>
                <w:rFonts w:ascii="宋体" w:hAnsi="宋体" w:cs="宋体"/>
                <w:kern w:val="0"/>
                <w:szCs w:val="21"/>
              </w:rPr>
              <w:t>1.42</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公务用车购置及运行维护费</w:t>
            </w:r>
          </w:p>
        </w:tc>
        <w:tc>
          <w:tcPr>
            <w:tcW w:w="2157"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 xml:space="preserve">  其中：公务用车运行维护费</w:t>
            </w:r>
          </w:p>
        </w:tc>
        <w:tc>
          <w:tcPr>
            <w:tcW w:w="2157"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p>
        </w:tc>
        <w:tc>
          <w:tcPr>
            <w:tcW w:w="222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 xml:space="preserve">        公务用车购置费 </w:t>
            </w:r>
          </w:p>
        </w:tc>
        <w:tc>
          <w:tcPr>
            <w:tcW w:w="2157"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p>
        </w:tc>
        <w:tc>
          <w:tcPr>
            <w:tcW w:w="222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r>
    </w:tbl>
    <w:p>
      <w:pPr>
        <w:ind w:firstLine="640" w:firstLineChars="200"/>
        <w:rPr>
          <w:rFonts w:ascii="黑体" w:hAnsi="黑体" w:eastAsia="黑体"/>
          <w:szCs w:val="32"/>
        </w:rPr>
      </w:pPr>
      <w:r>
        <w:rPr>
          <w:rFonts w:hint="eastAsia" w:ascii="黑体" w:hAnsi="黑体" w:eastAsia="黑体"/>
          <w:szCs w:val="32"/>
        </w:rPr>
        <w:t xml:space="preserve">                                      </w:t>
      </w:r>
    </w:p>
    <w:p>
      <w:pPr>
        <w:rPr>
          <w:rFonts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、2019年</w:t>
      </w:r>
      <w:r>
        <w:rPr>
          <w:rFonts w:hint="eastAsia" w:ascii="黑体" w:hAnsi="黑体" w:eastAsia="黑体"/>
          <w:szCs w:val="32"/>
        </w:rPr>
        <w:t>度一般公共预算财政拨款“三公”经费支出</w:t>
      </w:r>
      <w:r>
        <w:rPr>
          <w:rFonts w:ascii="黑体" w:hAnsi="黑体" w:eastAsia="黑体"/>
          <w:szCs w:val="32"/>
        </w:rPr>
        <w:t>情况说明</w:t>
      </w:r>
    </w:p>
    <w:p>
      <w:pPr>
        <w:ind w:firstLine="643" w:firstLineChars="200"/>
        <w:rPr>
          <w:rFonts w:ascii="仿宋" w:hAnsi="仿宋" w:eastAsia="仿宋"/>
          <w:b/>
          <w:szCs w:val="32"/>
        </w:rPr>
      </w:pPr>
      <w:r>
        <w:rPr>
          <w:rFonts w:hint="eastAsia" w:ascii="仿宋" w:hAnsi="仿宋" w:eastAsia="仿宋"/>
          <w:b/>
          <w:szCs w:val="32"/>
        </w:rPr>
        <w:t>（一）一般公共预算财政拨款“三公”经费支出决算总体情况说明。</w:t>
      </w:r>
    </w:p>
    <w:p>
      <w:pPr>
        <w:ind w:firstLine="640" w:firstLineChars="200"/>
        <w:rPr>
          <w:rFonts w:ascii="仿宋" w:hAnsi="仿宋" w:eastAsia="仿宋"/>
          <w:szCs w:val="32"/>
        </w:rPr>
      </w:pPr>
      <w:r>
        <w:rPr>
          <w:rFonts w:hint="eastAsia" w:ascii="仿宋" w:hAnsi="仿宋" w:eastAsia="仿宋"/>
          <w:szCs w:val="32"/>
        </w:rPr>
        <w:t>中共淮北市委党史和地方志研究室2019年度一般公共预算财政拨款“三公”经费支出预算为5.30万元，支出决算为1.42万元，完成预算的26.79%，决算数小于预算数的主要原因是来淮客商减少。为全面反映“三公”经费支出，本次公布的“三公”经费决算为部门汇总数，包含局本级和局属单位。</w:t>
      </w:r>
    </w:p>
    <w:p>
      <w:pPr>
        <w:ind w:firstLine="643" w:firstLineChars="200"/>
        <w:rPr>
          <w:rFonts w:ascii="仿宋" w:hAnsi="仿宋" w:eastAsia="仿宋"/>
          <w:b/>
          <w:szCs w:val="32"/>
        </w:rPr>
      </w:pPr>
      <w:r>
        <w:rPr>
          <w:rFonts w:hint="eastAsia" w:ascii="仿宋" w:hAnsi="仿宋" w:eastAsia="仿宋"/>
          <w:b/>
          <w:bCs/>
          <w:szCs w:val="32"/>
        </w:rPr>
        <w:t>（二）</w:t>
      </w:r>
      <w:r>
        <w:rPr>
          <w:rFonts w:hint="eastAsia" w:ascii="仿宋" w:hAnsi="仿宋" w:eastAsia="仿宋"/>
          <w:b/>
          <w:szCs w:val="32"/>
        </w:rPr>
        <w:t>一般公共预算财政拨款“三公”经费支出决算具体情况说明。</w:t>
      </w:r>
    </w:p>
    <w:p>
      <w:pPr>
        <w:ind w:firstLine="640" w:firstLineChars="200"/>
        <w:rPr>
          <w:rFonts w:ascii="仿宋" w:hAnsi="仿宋" w:eastAsia="仿宋"/>
          <w:szCs w:val="32"/>
        </w:rPr>
      </w:pPr>
      <w:r>
        <w:rPr>
          <w:rFonts w:hint="eastAsia" w:ascii="仿宋" w:hAnsi="仿宋" w:eastAsia="仿宋"/>
          <w:szCs w:val="32"/>
        </w:rPr>
        <w:t>中共淮北市委党史和地方志研究室2019年度一般公共预算财政拨款“三公”经费支出决算中，因公出国（境）费支出决算0万元，占0.00%；公务接待费支出决算1.42万元，占100.00%；公务用车购置及运行维护费支出决算0万元，占0.00%。具体情况如下：</w:t>
      </w:r>
    </w:p>
    <w:p>
      <w:pPr>
        <w:ind w:firstLine="628"/>
        <w:rPr>
          <w:rFonts w:ascii="仿宋" w:hAnsi="仿宋" w:eastAsia="仿宋"/>
          <w:szCs w:val="32"/>
        </w:rPr>
      </w:pPr>
      <w:r>
        <w:rPr>
          <w:rFonts w:hint="eastAsia" w:ascii="仿宋" w:hAnsi="仿宋" w:eastAsia="仿宋"/>
          <w:b/>
          <w:bCs/>
          <w:szCs w:val="32"/>
        </w:rPr>
        <w:t>1.因公出国（境）费支出</w:t>
      </w:r>
      <w:r>
        <w:rPr>
          <w:rFonts w:hint="eastAsia" w:ascii="仿宋" w:hAnsi="仿宋" w:eastAsia="仿宋"/>
          <w:szCs w:val="32"/>
        </w:rPr>
        <w:t>0万元。与2019年度预算相比，无变化。2019年中共淮北市委党史和地方志研究室因公出国（境）团组0次，累计出国（境）0人次。该项经费根据市外办批准的因公临时出国（境）计划，按照规定标准安排。经费使用严格相关规定执行。</w:t>
      </w:r>
    </w:p>
    <w:p>
      <w:pPr>
        <w:ind w:firstLine="628"/>
        <w:rPr>
          <w:rFonts w:ascii="仿宋" w:hAnsi="仿宋" w:eastAsia="仿宋"/>
          <w:szCs w:val="32"/>
        </w:rPr>
      </w:pPr>
      <w:r>
        <w:rPr>
          <w:rFonts w:hint="eastAsia" w:ascii="仿宋" w:hAnsi="仿宋" w:eastAsia="仿宋"/>
          <w:b/>
          <w:bCs/>
          <w:szCs w:val="32"/>
        </w:rPr>
        <w:t>2.公务接待费支出</w:t>
      </w:r>
      <w:r>
        <w:rPr>
          <w:rFonts w:hint="eastAsia" w:ascii="仿宋" w:hAnsi="仿宋" w:eastAsia="仿宋"/>
          <w:szCs w:val="32"/>
        </w:rPr>
        <w:t>1.42万元, 与2019年度预算相比，减少3.88万元，下降73.21%，下降的原因是来淮客商减少、机构改革。2019年中共淮北市委党史和地方志研究室国内公务接待共15批次（其中外事接待0批次），143人次（其中外事接待0人次）。下主要是用于接待来淮考察客商。经费使用严格贯彻党中央八项规定</w:t>
      </w:r>
      <w:bookmarkStart w:id="0" w:name="_GoBack"/>
      <w:bookmarkEnd w:id="0"/>
      <w:r>
        <w:rPr>
          <w:rFonts w:hint="eastAsia" w:ascii="仿宋" w:hAnsi="仿宋" w:eastAsia="仿宋"/>
          <w:szCs w:val="32"/>
        </w:rPr>
        <w:t>要求，严格执行《党政机关厉行节约反对浪费条例》、淮北市公务接待等相关规定。</w:t>
      </w:r>
    </w:p>
    <w:p>
      <w:pPr>
        <w:ind w:firstLine="643" w:firstLineChars="200"/>
        <w:rPr>
          <w:rFonts w:ascii="仿宋" w:hAnsi="仿宋" w:eastAsia="仿宋"/>
          <w:szCs w:val="32"/>
        </w:rPr>
      </w:pPr>
      <w:r>
        <w:rPr>
          <w:rFonts w:hint="eastAsia" w:ascii="仿宋" w:hAnsi="仿宋" w:eastAsia="仿宋"/>
          <w:b/>
          <w:bCs/>
          <w:szCs w:val="32"/>
        </w:rPr>
        <w:t>3.公务用车购置及运行维护费支出</w:t>
      </w:r>
      <w:r>
        <w:rPr>
          <w:rFonts w:hint="eastAsia" w:ascii="仿宋" w:hAnsi="仿宋" w:eastAsia="仿宋"/>
          <w:szCs w:val="32"/>
        </w:rPr>
        <w:t>0万元。与2019年度预算相比，无变化。2019年没有安排公务用车购置费，没有公务用车运行维护费。截至2019年12月31日，中共淮北市委党史和地方志研究室及所属单位开支财政拨款的公务用车保有量为1辆。</w:t>
      </w: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303BC"/>
    <w:rsid w:val="00075BF3"/>
    <w:rsid w:val="000B16A9"/>
    <w:rsid w:val="000D2995"/>
    <w:rsid w:val="0012567E"/>
    <w:rsid w:val="001A3690"/>
    <w:rsid w:val="001B5DC9"/>
    <w:rsid w:val="001D7EE6"/>
    <w:rsid w:val="001F539D"/>
    <w:rsid w:val="002F6DE8"/>
    <w:rsid w:val="00326726"/>
    <w:rsid w:val="003547B8"/>
    <w:rsid w:val="003F53EA"/>
    <w:rsid w:val="00445975"/>
    <w:rsid w:val="004554EF"/>
    <w:rsid w:val="00561DD9"/>
    <w:rsid w:val="00621BAB"/>
    <w:rsid w:val="00636936"/>
    <w:rsid w:val="006A0925"/>
    <w:rsid w:val="006B61C8"/>
    <w:rsid w:val="00890622"/>
    <w:rsid w:val="008E38C2"/>
    <w:rsid w:val="00914272"/>
    <w:rsid w:val="009D2B9A"/>
    <w:rsid w:val="00A9301C"/>
    <w:rsid w:val="00AB0278"/>
    <w:rsid w:val="00AF22CA"/>
    <w:rsid w:val="00B96CAF"/>
    <w:rsid w:val="00BF6CA2"/>
    <w:rsid w:val="00C926BA"/>
    <w:rsid w:val="00CD130E"/>
    <w:rsid w:val="00D2629D"/>
    <w:rsid w:val="00D303BC"/>
    <w:rsid w:val="00D91683"/>
    <w:rsid w:val="00D925EA"/>
    <w:rsid w:val="00E500DA"/>
    <w:rsid w:val="00EA7B0B"/>
    <w:rsid w:val="00EC2233"/>
    <w:rsid w:val="00F81897"/>
    <w:rsid w:val="00FB27E6"/>
    <w:rsid w:val="00FC29F2"/>
    <w:rsid w:val="03EE2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157</Words>
  <Characters>895</Characters>
  <Lines>7</Lines>
  <Paragraphs>2</Paragraphs>
  <TotalTime>109</TotalTime>
  <ScaleCrop>false</ScaleCrop>
  <LinksUpToDate>false</LinksUpToDate>
  <CharactersWithSpaces>1050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2020-09-10T08:42:00Z</dcterms:created>
  <dc:creator>丁配泉</dc:creator>
  <cp:lastModifiedBy>00</cp:lastModifiedBy>
  <cp:lastPrinted>2020-09-11T00:28:00Z</cp:lastPrinted>
  <dcterms:modified xsi:type="dcterms:W3CDTF">2022-01-26T01:26:04Z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99C8E684D4124C708348296CDBEF6314</vt:lpwstr>
  </property>
</Properties>
</file>