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中共淮北市委党史和地方志研究室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1.80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0.52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1.80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中共淮北市委党史和地方志研究室</w:t>
      </w:r>
      <w:r>
        <w:rPr>
          <w:rFonts w:hint="eastAsia" w:ascii="仿宋_GB2312" w:hAnsi="仿宋"/>
          <w:szCs w:val="32"/>
        </w:rPr>
        <w:t>2020年度一般公共预算财政拨款“三公”经费支出预算为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1.80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0.52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28.89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受疫情影响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中共淮北市委党史和地方志研究室</w:t>
      </w:r>
      <w:r>
        <w:rPr>
          <w:rFonts w:hint="eastAsia" w:ascii="仿宋_GB2312" w:hAnsi="仿宋"/>
          <w:szCs w:val="32"/>
        </w:rPr>
        <w:t>2020年度一般公共预算财政拨款“三公”经费支出决算中，因公出国（境）费支出决算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0.52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%。2020年</w:t>
      </w:r>
      <w:r>
        <w:rPr>
          <w:rFonts w:hint="eastAsia" w:ascii="仿宋_GB2312" w:hAnsi="仿宋"/>
          <w:szCs w:val="32"/>
          <w:lang w:eastAsia="zh-CN"/>
        </w:rPr>
        <w:t>中共淮北市委党史和地方志研究室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0.52</w:t>
      </w:r>
      <w:r>
        <w:rPr>
          <w:rFonts w:hint="eastAsia" w:ascii="仿宋_GB2312" w:hAnsi="仿宋"/>
          <w:szCs w:val="32"/>
        </w:rPr>
        <w:t>万元, 与2020年度预算相比，减少</w:t>
      </w:r>
      <w:r>
        <w:rPr>
          <w:rFonts w:hint="eastAsia" w:ascii="仿宋_GB2312" w:hAnsi="仿宋"/>
          <w:szCs w:val="32"/>
          <w:lang w:val="en-US" w:eastAsia="zh-CN"/>
        </w:rPr>
        <w:t>1,28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71.11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受疫情影响</w:t>
      </w:r>
      <w:r>
        <w:rPr>
          <w:rFonts w:hint="eastAsia" w:ascii="仿宋_GB2312" w:hAnsi="仿宋"/>
          <w:szCs w:val="32"/>
        </w:rPr>
        <w:t>。2020年</w:t>
      </w:r>
      <w:r>
        <w:rPr>
          <w:rFonts w:hint="eastAsia" w:ascii="仿宋_GB2312" w:hAnsi="仿宋"/>
          <w:szCs w:val="32"/>
          <w:lang w:eastAsia="zh-CN"/>
        </w:rPr>
        <w:t>中共淮北市委党史和地方志研究室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11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56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接待来淮考察客商</w:t>
      </w:r>
      <w:r>
        <w:rPr>
          <w:rFonts w:hint="eastAsia" w:ascii="仿宋_GB2312" w:hAnsi="仿宋"/>
          <w:szCs w:val="32"/>
        </w:rPr>
        <w:t>。经费使用严格贯彻党中央八项规定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万元，2020年没有安排公务用车购置费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%，截至2020年12月31日，</w:t>
      </w:r>
      <w:r>
        <w:rPr>
          <w:rFonts w:hint="eastAsia" w:ascii="仿宋_GB2312" w:hAnsi="仿宋"/>
          <w:szCs w:val="32"/>
          <w:lang w:eastAsia="zh-CN"/>
        </w:rPr>
        <w:t>中共淮北市委党史和地方志研究室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1D74093"/>
    <w:rsid w:val="1F6D3BBE"/>
    <w:rsid w:val="500D4A48"/>
    <w:rsid w:val="59DE726A"/>
    <w:rsid w:val="65D704A6"/>
    <w:rsid w:val="71B06165"/>
    <w:rsid w:val="7CD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37</TotalTime>
  <ScaleCrop>false</ScaleCrop>
  <LinksUpToDate>false</LinksUpToDate>
  <CharactersWithSpaces>1191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00</cp:lastModifiedBy>
  <cp:lastPrinted>2020-09-14T08:17:00Z</cp:lastPrinted>
  <dcterms:modified xsi:type="dcterms:W3CDTF">2022-01-26T01:30:15Z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CE1E53718A3246158251DEDFA840073A</vt:lpwstr>
  </property>
</Properties>
</file>